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7" w:lineRule="exact"/>
        <w:rPr>
          <w:rFonts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pacing w:val="-8"/>
          <w:position w:val="1"/>
          <w:sz w:val="31"/>
          <w:szCs w:val="31"/>
        </w:rPr>
        <w:t>附</w:t>
      </w:r>
      <w:r>
        <w:rPr>
          <w:rFonts w:hint="eastAsia" w:ascii="黑体" w:hAnsi="黑体" w:eastAsia="黑体"/>
          <w:spacing w:val="-7"/>
          <w:position w:val="1"/>
          <w:sz w:val="31"/>
          <w:szCs w:val="31"/>
        </w:rPr>
        <w:t>件</w:t>
      </w:r>
    </w:p>
    <w:p>
      <w:pPr>
        <w:jc w:val="center"/>
        <w:rPr>
          <w:rFonts w:ascii="Calibri" w:hAnsi="Calibri" w:eastAsia="宋体"/>
          <w:szCs w:val="21"/>
        </w:rPr>
      </w:pPr>
      <w:bookmarkStart w:id="0" w:name="_GoBack"/>
      <w:r>
        <w:rPr>
          <w:rFonts w:hint="eastAsia" w:ascii="方正小标宋简体" w:hAnsi="宋体" w:eastAsia="方正小标宋简体" w:cs="Arial"/>
          <w:b/>
          <w:bCs/>
          <w:color w:val="000000"/>
          <w:kern w:val="0"/>
          <w:sz w:val="36"/>
          <w:szCs w:val="36"/>
        </w:rPr>
        <w:t>2023年科普行动计划项目评审结果</w:t>
      </w:r>
    </w:p>
    <w:bookmarkEnd w:id="0"/>
    <w:tbl>
      <w:tblPr>
        <w:tblStyle w:val="2"/>
        <w:tblW w:w="829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83"/>
        <w:gridCol w:w="5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所属分支机构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项目主题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中西医结合脑卒中防治专业委员会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“砥砺前行，同心逐梦”-全力推进脑卒中防治工作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影像医学与人工智能专业委员会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慧眼识影像，医患同连心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新生儿医学专业委员会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提升早产儿母乳喂养率科普宣教活动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神经内分泌肿瘤专业委员会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针对老年人胃肠道神经内分泌肿瘤的内镜早期筛查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神经介入专业委员会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脑脊髓血管病的识别及预防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认知障碍疾病专业委员会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认知科普与阿尔兹海默症筛查活动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男科专业委员会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江苏省研究型医院学会两性学堂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过敏医学专业委员会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过敏性疾病智慧科普平台的建设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分娩镇痛专业委员会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安全产房，舒适分娩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肥胖及代谢性疾病专业委员会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基于 iNature 平台的肥胖青少年运动短视频内容生产与传播应用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肥胖及代谢性疾病专业委员会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自媒体作为肥胖及代谢性疾病科普宣传工具的初步探索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血栓与止血专业委员会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血友之歌唱响基层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医学科普工作委员会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医学科普，任重道远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中国研究型医院学会主委单位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关于开展麻醉科门诊相关知识的科普资源建设申请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生殖医学专业委员会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妊娠期糖尿病患者结构化教育课程方案的构建与实施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疼痛学专业委员会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基于混合现实技术的颈椎病科普大讲堂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甲状腺疾病专业委员会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甲状腺疾病科普宣传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心电专业委员会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单导联心电，多渠道科普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医学科普工作委员会</w:t>
            </w:r>
          </w:p>
        </w:tc>
        <w:tc>
          <w:tcPr>
            <w:tcW w:w="5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过敏性鼻炎的防治</w:t>
            </w:r>
          </w:p>
        </w:tc>
      </w:tr>
    </w:tbl>
    <w:p>
      <w:pPr>
        <w:rPr>
          <w:rFonts w:ascii="Calibri" w:hAnsi="Calibri" w:cs="Times New Roman"/>
          <w:szCs w:val="21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Dc1ZWUzMDQ4ZjM3ZTNlNzliZTFiODhhNDliYzAifQ=="/>
  </w:docVars>
  <w:rsids>
    <w:rsidRoot w:val="7B4B684B"/>
    <w:rsid w:val="7B4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2023-03-23T04:07:00Z</dcterms:created>
  <dc:creator>龙抬头</dc:creator>
  <cp:lastModifiedBy>龙抬头</cp:lastModifiedBy>
  <dcterms:modified xsi:type="dcterms:W3CDTF">2023-03-23T04:08:33Z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58FA1B2CFD884B09B9802C5EF50B86DD</vt:lpwstr>
  </property>
</Properties>
</file>